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6B" w:rsidRPr="00272C70" w:rsidRDefault="00041B6B" w:rsidP="00041B6B">
      <w:pPr>
        <w:autoSpaceDE w:val="0"/>
        <w:autoSpaceDN w:val="0"/>
        <w:bidi w:val="0"/>
        <w:adjustRightInd w:val="0"/>
        <w:spacing w:after="0" w:line="360" w:lineRule="auto"/>
        <w:jc w:val="center"/>
        <w:rPr>
          <w:rFonts w:asciiTheme="majorBidi" w:hAnsiTheme="majorBidi" w:cstheme="majorBidi"/>
          <w:sz w:val="28"/>
          <w:szCs w:val="28"/>
        </w:rPr>
      </w:pPr>
      <w:proofErr w:type="spellStart"/>
      <w:r w:rsidRPr="00272C70">
        <w:rPr>
          <w:rFonts w:asciiTheme="majorBidi" w:hAnsiTheme="majorBidi" w:cstheme="majorBidi"/>
          <w:sz w:val="28"/>
          <w:szCs w:val="28"/>
        </w:rPr>
        <w:t>Hyperkalemic</w:t>
      </w:r>
      <w:proofErr w:type="spellEnd"/>
      <w:r w:rsidRPr="00272C70">
        <w:rPr>
          <w:rFonts w:asciiTheme="majorBidi" w:hAnsiTheme="majorBidi" w:cstheme="majorBidi"/>
          <w:sz w:val="28"/>
          <w:szCs w:val="28"/>
        </w:rPr>
        <w:t xml:space="preserve"> periodic paralysis (HYPP)</w:t>
      </w:r>
    </w:p>
    <w:p w:rsidR="00041B6B" w:rsidRPr="00272C70" w:rsidRDefault="00041B6B" w:rsidP="00041B6B">
      <w:pPr>
        <w:autoSpaceDE w:val="0"/>
        <w:autoSpaceDN w:val="0"/>
        <w:bidi w:val="0"/>
        <w:adjustRightInd w:val="0"/>
        <w:spacing w:after="0" w:line="360" w:lineRule="auto"/>
        <w:ind w:left="360" w:hanging="218"/>
        <w:jc w:val="both"/>
        <w:rPr>
          <w:rFonts w:asciiTheme="majorBidi" w:hAnsiTheme="majorBidi" w:cstheme="majorBidi"/>
          <w:sz w:val="28"/>
          <w:szCs w:val="28"/>
        </w:rPr>
      </w:pPr>
      <w:r w:rsidRPr="00272C70">
        <w:rPr>
          <w:rFonts w:asciiTheme="majorBidi" w:hAnsiTheme="majorBidi" w:cstheme="majorBidi"/>
          <w:sz w:val="28"/>
          <w:szCs w:val="28"/>
        </w:rPr>
        <w:t>1 - Patient profile and history.</w:t>
      </w:r>
    </w:p>
    <w:p w:rsidR="00041B6B" w:rsidRPr="00272C70" w:rsidRDefault="009C0B9F" w:rsidP="00041B6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 xml:space="preserve">HYPP is a genetic disease of Quarter horses, Appaloosas, American point horses, and Quarter horse crosses. Gene frequency is highest in one pedigree of these breeds (i.e., affected horses are all descendants of a single </w:t>
      </w:r>
      <w:proofErr w:type="spellStart"/>
      <w:r w:rsidR="00041B6B" w:rsidRPr="00272C70">
        <w:rPr>
          <w:rFonts w:asciiTheme="majorBidi" w:hAnsiTheme="majorBidi" w:cstheme="majorBidi"/>
          <w:sz w:val="28"/>
          <w:szCs w:val="28"/>
        </w:rPr>
        <w:t>Quarterhorse</w:t>
      </w:r>
      <w:proofErr w:type="spellEnd"/>
      <w:r w:rsidR="00041B6B" w:rsidRPr="00272C70">
        <w:rPr>
          <w:rFonts w:asciiTheme="majorBidi" w:hAnsiTheme="majorBidi" w:cstheme="majorBidi"/>
          <w:sz w:val="28"/>
          <w:szCs w:val="28"/>
        </w:rPr>
        <w:t xml:space="preserve"> sire). Animals most frequently observed with the condition are well-muscled males age 2-3 years. The history and observed findings may indicate periods of prolonged </w:t>
      </w:r>
      <w:proofErr w:type="spellStart"/>
      <w:r w:rsidR="00041B6B" w:rsidRPr="00272C70">
        <w:rPr>
          <w:rFonts w:asciiTheme="majorBidi" w:hAnsiTheme="majorBidi" w:cstheme="majorBidi"/>
          <w:sz w:val="28"/>
          <w:szCs w:val="28"/>
        </w:rPr>
        <w:t>recumbency</w:t>
      </w:r>
      <w:proofErr w:type="spellEnd"/>
      <w:r w:rsidR="00041B6B" w:rsidRPr="00272C70">
        <w:rPr>
          <w:rFonts w:asciiTheme="majorBidi" w:hAnsiTheme="majorBidi" w:cstheme="majorBidi"/>
          <w:sz w:val="28"/>
          <w:szCs w:val="28"/>
        </w:rPr>
        <w:t xml:space="preserve"> or cutaneous abrasions.</w:t>
      </w:r>
    </w:p>
    <w:p w:rsidR="00041B6B"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rPr>
      </w:pPr>
    </w:p>
    <w:p w:rsidR="00041B6B" w:rsidRPr="00272C70" w:rsidRDefault="009C0B9F" w:rsidP="00041B6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2</w:t>
      </w:r>
      <w:r w:rsidR="00041B6B" w:rsidRPr="00272C70">
        <w:rPr>
          <w:rFonts w:asciiTheme="majorBidi" w:hAnsiTheme="majorBidi" w:cstheme="majorBidi"/>
          <w:sz w:val="28"/>
          <w:szCs w:val="28"/>
        </w:rPr>
        <w:t>. Etiology and pathogenesis.</w:t>
      </w:r>
    </w:p>
    <w:p w:rsidR="00041B6B" w:rsidRPr="00272C70" w:rsidRDefault="00041B6B" w:rsidP="009C0B9F">
      <w:pPr>
        <w:autoSpaceDE w:val="0"/>
        <w:autoSpaceDN w:val="0"/>
        <w:bidi w:val="0"/>
        <w:adjustRightInd w:val="0"/>
        <w:spacing w:after="0" w:line="360" w:lineRule="auto"/>
        <w:jc w:val="both"/>
        <w:rPr>
          <w:rFonts w:asciiTheme="majorBidi" w:hAnsiTheme="majorBidi" w:cstheme="majorBidi"/>
          <w:sz w:val="28"/>
          <w:szCs w:val="28"/>
        </w:rPr>
      </w:pPr>
      <w:r w:rsidRPr="00272C70">
        <w:rPr>
          <w:rFonts w:asciiTheme="majorBidi" w:hAnsiTheme="majorBidi" w:cstheme="majorBidi"/>
          <w:sz w:val="28"/>
          <w:szCs w:val="28"/>
        </w:rPr>
        <w:t xml:space="preserve"> </w:t>
      </w:r>
      <w:r w:rsidR="009C0B9F">
        <w:rPr>
          <w:rFonts w:asciiTheme="majorBidi" w:hAnsiTheme="majorBidi" w:cstheme="majorBidi"/>
          <w:sz w:val="28"/>
          <w:szCs w:val="28"/>
        </w:rPr>
        <w:t xml:space="preserve">     </w:t>
      </w:r>
      <w:r w:rsidRPr="00272C70">
        <w:rPr>
          <w:rFonts w:asciiTheme="majorBidi" w:hAnsiTheme="majorBidi" w:cstheme="majorBidi"/>
          <w:sz w:val="28"/>
          <w:szCs w:val="28"/>
        </w:rPr>
        <w:t>HYPP is similar to the human condition and has been transmitted as an autosomal dominant trait that is most likely from a single sire. The disorder is produced by failure of ion transport across the skeletal muscle cell membrane</w:t>
      </w:r>
      <w:r w:rsidR="009C0B9F">
        <w:rPr>
          <w:rFonts w:asciiTheme="majorBidi" w:hAnsiTheme="majorBidi" w:cstheme="majorBidi"/>
          <w:sz w:val="28"/>
          <w:szCs w:val="28"/>
        </w:rPr>
        <w:t xml:space="preserve"> </w:t>
      </w:r>
      <w:r w:rsidRPr="00272C70">
        <w:rPr>
          <w:rFonts w:asciiTheme="majorBidi" w:hAnsiTheme="majorBidi" w:cstheme="majorBidi"/>
          <w:sz w:val="28"/>
          <w:szCs w:val="28"/>
        </w:rPr>
        <w:t>due to an abnormality in the sodium channel. In horses, this has been localized to a point mutation that changes an amino acid (e.g., phenylalanine, leucine) in the subunit of the sodium channel protein.</w:t>
      </w:r>
    </w:p>
    <w:p w:rsidR="00041B6B"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a. Defective sodium channels remain open after membrane depolarization, allowing excessive inward sodium movement and heightened membrane depolarization. Simultaneously, normal sodium channels may be inactivated, preventing normal action ion potentials from developing. This creates muscular weakness.</w:t>
      </w:r>
    </w:p>
    <w:p w:rsidR="00041B6B"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 xml:space="preserve">b. Hyperkalemia may be secondary to increased release of potassium as potassium channels open to depolarize the muscle membranes. Hyperkalemia also may occur if potassium is less able to enter the </w:t>
      </w:r>
      <w:proofErr w:type="spellStart"/>
      <w:r w:rsidR="00041B6B" w:rsidRPr="00272C70">
        <w:rPr>
          <w:rFonts w:asciiTheme="majorBidi" w:hAnsiTheme="majorBidi" w:cstheme="majorBidi"/>
          <w:sz w:val="28"/>
          <w:szCs w:val="28"/>
        </w:rPr>
        <w:t>myocytes</w:t>
      </w:r>
      <w:proofErr w:type="spellEnd"/>
      <w:r w:rsidR="00041B6B" w:rsidRPr="00272C70">
        <w:rPr>
          <w:rFonts w:asciiTheme="majorBidi" w:hAnsiTheme="majorBidi" w:cstheme="majorBidi"/>
          <w:sz w:val="28"/>
          <w:szCs w:val="28"/>
        </w:rPr>
        <w:t>, resulting in serum accumulation.</w:t>
      </w:r>
    </w:p>
    <w:p w:rsidR="009C0B9F" w:rsidRPr="00272C70" w:rsidRDefault="009C0B9F" w:rsidP="009C0B9F">
      <w:pPr>
        <w:autoSpaceDE w:val="0"/>
        <w:autoSpaceDN w:val="0"/>
        <w:bidi w:val="0"/>
        <w:adjustRightInd w:val="0"/>
        <w:spacing w:after="0" w:line="360" w:lineRule="auto"/>
        <w:jc w:val="both"/>
        <w:rPr>
          <w:rFonts w:asciiTheme="majorBidi" w:hAnsiTheme="majorBidi" w:cstheme="majorBidi"/>
          <w:sz w:val="28"/>
          <w:szCs w:val="28"/>
        </w:rPr>
      </w:pPr>
    </w:p>
    <w:p w:rsidR="00041B6B"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rPr>
      </w:pPr>
    </w:p>
    <w:p w:rsidR="009C0B9F" w:rsidRPr="00272C70" w:rsidRDefault="009C0B9F" w:rsidP="009C0B9F">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3</w:t>
      </w:r>
      <w:r w:rsidRPr="00272C70">
        <w:rPr>
          <w:rFonts w:asciiTheme="majorBidi" w:hAnsiTheme="majorBidi" w:cstheme="majorBidi"/>
          <w:sz w:val="28"/>
          <w:szCs w:val="28"/>
        </w:rPr>
        <w:t>. Clinical findings</w:t>
      </w:r>
    </w:p>
    <w:p w:rsidR="009C0B9F"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Pr="00272C70">
        <w:rPr>
          <w:rFonts w:asciiTheme="majorBidi" w:hAnsiTheme="majorBidi" w:cstheme="majorBidi"/>
          <w:sz w:val="28"/>
          <w:szCs w:val="28"/>
        </w:rPr>
        <w:t xml:space="preserve">a. Clinical attacks may be triggered by chilling, transportation, exhibitions at shows, and other stressors. In heterozygotes, the most common and earliest clinical sign is muscle </w:t>
      </w:r>
      <w:proofErr w:type="spellStart"/>
      <w:r w:rsidRPr="00272C70">
        <w:rPr>
          <w:rFonts w:asciiTheme="majorBidi" w:hAnsiTheme="majorBidi" w:cstheme="majorBidi"/>
          <w:sz w:val="28"/>
          <w:szCs w:val="28"/>
        </w:rPr>
        <w:t>fasciculations</w:t>
      </w:r>
      <w:proofErr w:type="spellEnd"/>
      <w:r w:rsidRPr="00272C70">
        <w:rPr>
          <w:rFonts w:asciiTheme="majorBidi" w:hAnsiTheme="majorBidi" w:cstheme="majorBidi"/>
          <w:sz w:val="28"/>
          <w:szCs w:val="28"/>
        </w:rPr>
        <w:t xml:space="preserve">, followed by muscle spasms of the face, jaws, and legs. Weakness and </w:t>
      </w:r>
      <w:proofErr w:type="spellStart"/>
      <w:r w:rsidRPr="00272C70">
        <w:rPr>
          <w:rFonts w:asciiTheme="majorBidi" w:hAnsiTheme="majorBidi" w:cstheme="majorBidi"/>
          <w:sz w:val="28"/>
          <w:szCs w:val="28"/>
        </w:rPr>
        <w:t>recumbency</w:t>
      </w:r>
      <w:proofErr w:type="spellEnd"/>
      <w:r w:rsidRPr="00272C70">
        <w:rPr>
          <w:rFonts w:asciiTheme="majorBidi" w:hAnsiTheme="majorBidi" w:cstheme="majorBidi"/>
          <w:sz w:val="28"/>
          <w:szCs w:val="28"/>
        </w:rPr>
        <w:t xml:space="preserve"> follow. Death may ensue due to respiratory or cardiac failure, but this is rare. Recovery may take several minutes to several hours. Animals are normal between episodes.</w:t>
      </w:r>
    </w:p>
    <w:p w:rsidR="009C0B9F"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Pr="00272C70">
        <w:rPr>
          <w:rFonts w:asciiTheme="majorBidi" w:hAnsiTheme="majorBidi" w:cstheme="majorBidi"/>
          <w:sz w:val="28"/>
          <w:szCs w:val="28"/>
        </w:rPr>
        <w:t>b. Many horses have increased respiratory rates during attacks and may show stridor if laryngeal or pharyngeal muscles are affected. Marked and persistent dyspnea may occur in homozygous foals. There are reports of HYPP attacks following anesthesia.</w:t>
      </w:r>
    </w:p>
    <w:p w:rsidR="009C0B9F" w:rsidRDefault="009C0B9F" w:rsidP="00041B6B">
      <w:pPr>
        <w:autoSpaceDE w:val="0"/>
        <w:autoSpaceDN w:val="0"/>
        <w:bidi w:val="0"/>
        <w:adjustRightInd w:val="0"/>
        <w:spacing w:after="0" w:line="360" w:lineRule="auto"/>
        <w:jc w:val="both"/>
        <w:rPr>
          <w:rFonts w:asciiTheme="majorBidi" w:hAnsiTheme="majorBidi" w:cstheme="majorBidi"/>
          <w:sz w:val="28"/>
          <w:szCs w:val="28"/>
        </w:rPr>
      </w:pPr>
    </w:p>
    <w:p w:rsidR="00041B6B" w:rsidRPr="00272C70" w:rsidRDefault="00041B6B" w:rsidP="009C0B9F">
      <w:pPr>
        <w:autoSpaceDE w:val="0"/>
        <w:autoSpaceDN w:val="0"/>
        <w:bidi w:val="0"/>
        <w:adjustRightInd w:val="0"/>
        <w:spacing w:after="0" w:line="360" w:lineRule="auto"/>
        <w:jc w:val="both"/>
        <w:rPr>
          <w:rFonts w:asciiTheme="majorBidi" w:hAnsiTheme="majorBidi" w:cstheme="majorBidi"/>
          <w:sz w:val="28"/>
          <w:szCs w:val="28"/>
        </w:rPr>
      </w:pPr>
      <w:r w:rsidRPr="00272C70">
        <w:rPr>
          <w:rFonts w:asciiTheme="majorBidi" w:hAnsiTheme="majorBidi" w:cstheme="majorBidi"/>
          <w:sz w:val="28"/>
          <w:szCs w:val="28"/>
        </w:rPr>
        <w:t xml:space="preserve">4. Diagnostic plan and laboratory tests </w:t>
      </w:r>
    </w:p>
    <w:p w:rsidR="00041B6B"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 xml:space="preserve">a. The condition may be diagnosed subjectively by clinical findings and objectively by elevated serum potassium levels. Serum potassium is usually elevated to between 6 </w:t>
      </w:r>
      <w:proofErr w:type="spellStart"/>
      <w:r w:rsidR="00041B6B" w:rsidRPr="00272C70">
        <w:rPr>
          <w:rFonts w:asciiTheme="majorBidi" w:hAnsiTheme="majorBidi" w:cstheme="majorBidi"/>
          <w:sz w:val="28"/>
          <w:szCs w:val="28"/>
        </w:rPr>
        <w:t>mmollL</w:t>
      </w:r>
      <w:proofErr w:type="spellEnd"/>
      <w:r w:rsidR="00041B6B" w:rsidRPr="00272C70">
        <w:rPr>
          <w:rFonts w:asciiTheme="majorBidi" w:hAnsiTheme="majorBidi" w:cstheme="majorBidi"/>
          <w:sz w:val="28"/>
          <w:szCs w:val="28"/>
        </w:rPr>
        <w:t xml:space="preserve"> and 8 </w:t>
      </w:r>
      <w:proofErr w:type="spellStart"/>
      <w:r w:rsidR="00041B6B" w:rsidRPr="00272C70">
        <w:rPr>
          <w:rFonts w:asciiTheme="majorBidi" w:hAnsiTheme="majorBidi" w:cstheme="majorBidi"/>
          <w:sz w:val="28"/>
          <w:szCs w:val="28"/>
        </w:rPr>
        <w:t>mmollL</w:t>
      </w:r>
      <w:proofErr w:type="spellEnd"/>
      <w:r w:rsidR="00041B6B" w:rsidRPr="00272C70">
        <w:rPr>
          <w:rFonts w:asciiTheme="majorBidi" w:hAnsiTheme="majorBidi" w:cstheme="majorBidi"/>
          <w:sz w:val="28"/>
          <w:szCs w:val="28"/>
        </w:rPr>
        <w:t xml:space="preserve"> during attacks. These elevations only persist for </w:t>
      </w:r>
      <w:r w:rsidR="00041B6B" w:rsidRPr="00272C70">
        <w:rPr>
          <w:rFonts w:asciiTheme="majorBidi" w:hAnsiTheme="majorBidi" w:cstheme="majorBidi"/>
          <w:b/>
          <w:bCs/>
          <w:i/>
          <w:iCs/>
          <w:sz w:val="28"/>
          <w:szCs w:val="28"/>
        </w:rPr>
        <w:t xml:space="preserve">1-2 </w:t>
      </w:r>
      <w:r w:rsidR="00041B6B" w:rsidRPr="00272C70">
        <w:rPr>
          <w:rFonts w:asciiTheme="majorBidi" w:hAnsiTheme="majorBidi" w:cstheme="majorBidi"/>
          <w:sz w:val="28"/>
          <w:szCs w:val="28"/>
        </w:rPr>
        <w:t>hours. Serum should be separated from clotted samples as soon as possible to prevent red blood cell leakage of potassium into the serum.</w:t>
      </w:r>
    </w:p>
    <w:p w:rsidR="00041B6B"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b. Definitive diagnosis is based on a gene probe for HYPP-type sodium channel DNA. The test is based on analysis of whole blood and is available commercially.</w:t>
      </w:r>
    </w:p>
    <w:p w:rsidR="00041B6B"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 xml:space="preserve">c. A potassium chloride challenge test also has been used to diagnose </w:t>
      </w:r>
      <w:proofErr w:type="spellStart"/>
      <w:r w:rsidR="00041B6B" w:rsidRPr="00272C70">
        <w:rPr>
          <w:rFonts w:asciiTheme="majorBidi" w:hAnsiTheme="majorBidi" w:cstheme="majorBidi"/>
          <w:sz w:val="28"/>
          <w:szCs w:val="28"/>
        </w:rPr>
        <w:t>d'condition</w:t>
      </w:r>
      <w:proofErr w:type="spellEnd"/>
      <w:r w:rsidR="00041B6B" w:rsidRPr="00272C70">
        <w:rPr>
          <w:rFonts w:asciiTheme="majorBidi" w:hAnsiTheme="majorBidi" w:cstheme="majorBidi"/>
          <w:sz w:val="28"/>
          <w:szCs w:val="28"/>
        </w:rPr>
        <w:t xml:space="preserve">; however, this test is difficult to interpret and may be fatal in some horses. Potassium is administered orally at 0.1 </w:t>
      </w:r>
      <w:r w:rsidR="00041B6B" w:rsidRPr="00272C70">
        <w:rPr>
          <w:rFonts w:asciiTheme="majorBidi" w:hAnsiTheme="majorBidi" w:cstheme="majorBidi"/>
          <w:b/>
          <w:bCs/>
          <w:sz w:val="28"/>
          <w:szCs w:val="28"/>
        </w:rPr>
        <w:t xml:space="preserve">g </w:t>
      </w:r>
      <w:r w:rsidR="00041B6B" w:rsidRPr="00272C70">
        <w:rPr>
          <w:rFonts w:asciiTheme="majorBidi" w:hAnsiTheme="majorBidi" w:cstheme="majorBidi"/>
          <w:sz w:val="28"/>
          <w:szCs w:val="28"/>
        </w:rPr>
        <w:t xml:space="preserve">KC1 per kg, and both clinical signs and blood potassium levels are monitored. If the horse shows signs of muscle </w:t>
      </w:r>
      <w:proofErr w:type="spellStart"/>
      <w:r w:rsidR="00041B6B" w:rsidRPr="00272C70">
        <w:rPr>
          <w:rFonts w:asciiTheme="majorBidi" w:hAnsiTheme="majorBidi" w:cstheme="majorBidi"/>
          <w:sz w:val="28"/>
          <w:szCs w:val="28"/>
        </w:rPr>
        <w:t>fasciculations</w:t>
      </w:r>
      <w:proofErr w:type="spellEnd"/>
      <w:r w:rsidR="00041B6B" w:rsidRPr="00272C70">
        <w:rPr>
          <w:rFonts w:asciiTheme="majorBidi" w:hAnsiTheme="majorBidi" w:cstheme="majorBidi"/>
          <w:sz w:val="28"/>
          <w:szCs w:val="28"/>
        </w:rPr>
        <w:t xml:space="preserve"> and hyperkalemia, the test is discontinued. If results are negative, the </w:t>
      </w:r>
      <w:r w:rsidR="00041B6B" w:rsidRPr="00272C70">
        <w:rPr>
          <w:rFonts w:asciiTheme="majorBidi" w:hAnsiTheme="majorBidi" w:cstheme="majorBidi"/>
          <w:sz w:val="28"/>
          <w:szCs w:val="28"/>
        </w:rPr>
        <w:lastRenderedPageBreak/>
        <w:t xml:space="preserve">test may be repeated up to four more times, increasing the administered potassium by 0.025 g KC1 per kg every challenge up to a total potassium dose of 0.2 </w:t>
      </w:r>
      <w:proofErr w:type="spellStart"/>
      <w:r w:rsidR="00041B6B" w:rsidRPr="00272C70">
        <w:rPr>
          <w:rFonts w:asciiTheme="majorBidi" w:hAnsiTheme="majorBidi" w:cstheme="majorBidi"/>
          <w:sz w:val="28"/>
          <w:szCs w:val="28"/>
        </w:rPr>
        <w:t>glkg</w:t>
      </w:r>
      <w:proofErr w:type="spellEnd"/>
      <w:r w:rsidR="00041B6B" w:rsidRPr="00272C70">
        <w:rPr>
          <w:rFonts w:asciiTheme="majorBidi" w:hAnsiTheme="majorBidi" w:cstheme="majorBidi"/>
          <w:sz w:val="28"/>
          <w:szCs w:val="28"/>
        </w:rPr>
        <w:t xml:space="preserve"> in adults or 0.1.5 g/kg in foals or weanlings.</w:t>
      </w:r>
    </w:p>
    <w:p w:rsidR="00041B6B"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d. Electromyography of suspect horses is practiced for immediate diagnostics and is quite reliable (90% reliability).</w:t>
      </w:r>
    </w:p>
    <w:p w:rsidR="009C0B9F"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p>
    <w:p w:rsidR="009C0B9F" w:rsidRDefault="00041B6B" w:rsidP="00041B6B">
      <w:pPr>
        <w:autoSpaceDE w:val="0"/>
        <w:autoSpaceDN w:val="0"/>
        <w:bidi w:val="0"/>
        <w:adjustRightInd w:val="0"/>
        <w:spacing w:after="0" w:line="360" w:lineRule="auto"/>
        <w:jc w:val="both"/>
        <w:rPr>
          <w:rFonts w:asciiTheme="majorBidi" w:hAnsiTheme="majorBidi" w:cstheme="majorBidi"/>
          <w:sz w:val="28"/>
          <w:szCs w:val="28"/>
        </w:rPr>
      </w:pPr>
      <w:r w:rsidRPr="00272C70">
        <w:rPr>
          <w:rFonts w:asciiTheme="majorBidi" w:hAnsiTheme="majorBidi" w:cstheme="majorBidi"/>
          <w:b/>
          <w:bCs/>
          <w:i/>
          <w:iCs/>
          <w:sz w:val="28"/>
          <w:szCs w:val="28"/>
        </w:rPr>
        <w:t xml:space="preserve">5. </w:t>
      </w:r>
      <w:r w:rsidRPr="00272C70">
        <w:rPr>
          <w:rFonts w:asciiTheme="majorBidi" w:hAnsiTheme="majorBidi" w:cstheme="majorBidi"/>
          <w:sz w:val="28"/>
          <w:szCs w:val="28"/>
        </w:rPr>
        <w:t>Differential diagnoses for presenting clinical signs include</w:t>
      </w:r>
    </w:p>
    <w:p w:rsidR="009C0B9F" w:rsidRDefault="009C0B9F" w:rsidP="009C0B9F">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1 - </w:t>
      </w:r>
      <w:r w:rsidR="00041B6B" w:rsidRPr="00272C70">
        <w:rPr>
          <w:rFonts w:asciiTheme="majorBidi" w:hAnsiTheme="majorBidi" w:cstheme="majorBidi"/>
          <w:sz w:val="28"/>
          <w:szCs w:val="28"/>
        </w:rPr>
        <w:t xml:space="preserve"> colic</w:t>
      </w:r>
    </w:p>
    <w:p w:rsidR="009C0B9F" w:rsidRDefault="009C0B9F" w:rsidP="009C0B9F">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2 - </w:t>
      </w:r>
      <w:r w:rsidR="00041B6B" w:rsidRPr="00272C70">
        <w:rPr>
          <w:rFonts w:asciiTheme="majorBidi" w:hAnsiTheme="majorBidi" w:cstheme="majorBidi"/>
          <w:sz w:val="28"/>
          <w:szCs w:val="28"/>
        </w:rPr>
        <w:t xml:space="preserve"> trauma</w:t>
      </w:r>
    </w:p>
    <w:p w:rsidR="00041B6B" w:rsidRPr="00272C70" w:rsidRDefault="009C0B9F" w:rsidP="009C0B9F">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3 - </w:t>
      </w:r>
      <w:proofErr w:type="spellStart"/>
      <w:r w:rsidR="00041B6B" w:rsidRPr="00272C70">
        <w:rPr>
          <w:rFonts w:asciiTheme="majorBidi" w:hAnsiTheme="majorBidi" w:cstheme="majorBidi"/>
          <w:sz w:val="28"/>
          <w:szCs w:val="28"/>
        </w:rPr>
        <w:t>exertional</w:t>
      </w:r>
      <w:proofErr w:type="spellEnd"/>
      <w:r w:rsidR="00041B6B" w:rsidRPr="00272C70">
        <w:rPr>
          <w:rFonts w:asciiTheme="majorBidi" w:hAnsiTheme="majorBidi" w:cstheme="majorBidi"/>
          <w:sz w:val="28"/>
          <w:szCs w:val="28"/>
        </w:rPr>
        <w:t xml:space="preserve"> </w:t>
      </w:r>
      <w:proofErr w:type="spellStart"/>
      <w:r w:rsidR="00041B6B" w:rsidRPr="00272C70">
        <w:rPr>
          <w:rFonts w:asciiTheme="majorBidi" w:hAnsiTheme="majorBidi" w:cstheme="majorBidi"/>
          <w:sz w:val="28"/>
          <w:szCs w:val="28"/>
        </w:rPr>
        <w:t>rhabdomyolysis</w:t>
      </w:r>
      <w:proofErr w:type="spellEnd"/>
      <w:r w:rsidR="00041B6B" w:rsidRPr="00272C70">
        <w:rPr>
          <w:rFonts w:asciiTheme="majorBidi" w:hAnsiTheme="majorBidi" w:cstheme="majorBidi"/>
          <w:sz w:val="28"/>
          <w:szCs w:val="28"/>
        </w:rPr>
        <w:t>.</w:t>
      </w:r>
    </w:p>
    <w:p w:rsidR="00041B6B"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rPr>
      </w:pPr>
    </w:p>
    <w:p w:rsidR="00041B6B"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rPr>
      </w:pPr>
      <w:r w:rsidRPr="00272C70">
        <w:rPr>
          <w:rFonts w:asciiTheme="majorBidi" w:hAnsiTheme="majorBidi" w:cstheme="majorBidi"/>
          <w:b/>
          <w:bCs/>
          <w:i/>
          <w:iCs/>
          <w:sz w:val="28"/>
          <w:szCs w:val="28"/>
        </w:rPr>
        <w:t xml:space="preserve">6. </w:t>
      </w:r>
      <w:r w:rsidRPr="00272C70">
        <w:rPr>
          <w:rFonts w:asciiTheme="majorBidi" w:hAnsiTheme="majorBidi" w:cstheme="majorBidi"/>
          <w:sz w:val="28"/>
          <w:szCs w:val="28"/>
        </w:rPr>
        <w:t>Therapeutic plan</w:t>
      </w:r>
    </w:p>
    <w:p w:rsidR="00041B6B"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 xml:space="preserve">a. Emergency treatment consists of the intravenous administration of </w:t>
      </w:r>
      <w:r w:rsidR="00041B6B" w:rsidRPr="00272C70">
        <w:rPr>
          <w:rFonts w:asciiTheme="majorBidi" w:hAnsiTheme="majorBidi" w:cstheme="majorBidi"/>
          <w:b/>
          <w:bCs/>
          <w:sz w:val="28"/>
          <w:szCs w:val="28"/>
        </w:rPr>
        <w:t xml:space="preserve">5% </w:t>
      </w:r>
      <w:r w:rsidR="00041B6B" w:rsidRPr="00272C70">
        <w:rPr>
          <w:rFonts w:asciiTheme="majorBidi" w:hAnsiTheme="majorBidi" w:cstheme="majorBidi"/>
          <w:sz w:val="28"/>
          <w:szCs w:val="28"/>
        </w:rPr>
        <w:t xml:space="preserve">dextrose (2 ml to 6 </w:t>
      </w:r>
      <w:proofErr w:type="spellStart"/>
      <w:r w:rsidR="00041B6B" w:rsidRPr="00272C70">
        <w:rPr>
          <w:rFonts w:asciiTheme="majorBidi" w:hAnsiTheme="majorBidi" w:cstheme="majorBidi"/>
          <w:sz w:val="28"/>
          <w:szCs w:val="28"/>
        </w:rPr>
        <w:t>mllkg</w:t>
      </w:r>
      <w:proofErr w:type="spellEnd"/>
      <w:r w:rsidR="00041B6B" w:rsidRPr="00272C70">
        <w:rPr>
          <w:rFonts w:asciiTheme="majorBidi" w:hAnsiTheme="majorBidi" w:cstheme="majorBidi"/>
          <w:sz w:val="28"/>
          <w:szCs w:val="28"/>
        </w:rPr>
        <w:t xml:space="preserve">) together with sodium bicarbonate (1 </w:t>
      </w:r>
      <w:proofErr w:type="spellStart"/>
      <w:r w:rsidR="00041B6B" w:rsidRPr="00272C70">
        <w:rPr>
          <w:rFonts w:asciiTheme="majorBidi" w:hAnsiTheme="majorBidi" w:cstheme="majorBidi"/>
          <w:sz w:val="28"/>
          <w:szCs w:val="28"/>
        </w:rPr>
        <w:t>mmollkg</w:t>
      </w:r>
      <w:proofErr w:type="spellEnd"/>
      <w:r w:rsidR="00041B6B" w:rsidRPr="00272C70">
        <w:rPr>
          <w:rFonts w:asciiTheme="majorBidi" w:hAnsiTheme="majorBidi" w:cstheme="majorBidi"/>
          <w:sz w:val="28"/>
          <w:szCs w:val="28"/>
        </w:rPr>
        <w:t xml:space="preserve"> to 2 </w:t>
      </w:r>
      <w:proofErr w:type="spellStart"/>
      <w:r w:rsidR="00041B6B" w:rsidRPr="00272C70">
        <w:rPr>
          <w:rFonts w:asciiTheme="majorBidi" w:hAnsiTheme="majorBidi" w:cstheme="majorBidi"/>
          <w:sz w:val="28"/>
          <w:szCs w:val="28"/>
        </w:rPr>
        <w:t>mmollkg</w:t>
      </w:r>
      <w:proofErr w:type="spellEnd"/>
      <w:r w:rsidR="00041B6B" w:rsidRPr="00272C70">
        <w:rPr>
          <w:rFonts w:asciiTheme="majorBidi" w:hAnsiTheme="majorBidi" w:cstheme="majorBidi"/>
          <w:sz w:val="28"/>
          <w:szCs w:val="28"/>
        </w:rPr>
        <w:t xml:space="preserve">) or </w:t>
      </w:r>
      <w:r w:rsidR="00041B6B" w:rsidRPr="00272C70">
        <w:rPr>
          <w:rFonts w:asciiTheme="majorBidi" w:hAnsiTheme="majorBidi" w:cstheme="majorBidi"/>
          <w:b/>
          <w:bCs/>
          <w:sz w:val="28"/>
          <w:szCs w:val="28"/>
        </w:rPr>
        <w:t xml:space="preserve">23% </w:t>
      </w:r>
      <w:r w:rsidR="00041B6B" w:rsidRPr="00272C70">
        <w:rPr>
          <w:rFonts w:asciiTheme="majorBidi" w:hAnsiTheme="majorBidi" w:cstheme="majorBidi"/>
          <w:sz w:val="28"/>
          <w:szCs w:val="28"/>
        </w:rPr>
        <w:t xml:space="preserve">calcium gluconate (0.2 </w:t>
      </w:r>
      <w:proofErr w:type="spellStart"/>
      <w:r w:rsidR="00041B6B" w:rsidRPr="00272C70">
        <w:rPr>
          <w:rFonts w:asciiTheme="majorBidi" w:hAnsiTheme="majorBidi" w:cstheme="majorBidi"/>
          <w:sz w:val="28"/>
          <w:szCs w:val="28"/>
        </w:rPr>
        <w:t>mllkg</w:t>
      </w:r>
      <w:proofErr w:type="spellEnd"/>
      <w:r w:rsidR="00041B6B" w:rsidRPr="00272C70">
        <w:rPr>
          <w:rFonts w:asciiTheme="majorBidi" w:hAnsiTheme="majorBidi" w:cstheme="majorBidi"/>
          <w:sz w:val="28"/>
          <w:szCs w:val="28"/>
        </w:rPr>
        <w:t>). Dextrose and bicarbonate will move potassium back into cells. Calcium counteracts the effects of hyperkalemia.</w:t>
      </w:r>
    </w:p>
    <w:p w:rsidR="00041B6B" w:rsidRPr="00272C70" w:rsidRDefault="009C0B9F" w:rsidP="009C0B9F">
      <w:pPr>
        <w:autoSpaceDE w:val="0"/>
        <w:autoSpaceDN w:val="0"/>
        <w:bidi w:val="0"/>
        <w:adjustRightInd w:val="0"/>
        <w:spacing w:after="0" w:line="360" w:lineRule="auto"/>
        <w:ind w:left="709" w:hanging="709"/>
        <w:jc w:val="both"/>
        <w:rPr>
          <w:rFonts w:asciiTheme="majorBidi" w:hAnsiTheme="majorBidi" w:cstheme="majorBidi"/>
          <w:sz w:val="28"/>
          <w:szCs w:val="28"/>
        </w:rPr>
      </w:pPr>
      <w:r>
        <w:rPr>
          <w:rFonts w:asciiTheme="majorBidi" w:hAnsiTheme="majorBidi" w:cstheme="majorBidi"/>
          <w:sz w:val="28"/>
          <w:szCs w:val="28"/>
        </w:rPr>
        <w:t xml:space="preserve">     </w:t>
      </w:r>
      <w:r w:rsidR="00041B6B" w:rsidRPr="00272C70">
        <w:rPr>
          <w:rFonts w:asciiTheme="majorBidi" w:hAnsiTheme="majorBidi" w:cstheme="majorBidi"/>
          <w:sz w:val="28"/>
          <w:szCs w:val="28"/>
        </w:rPr>
        <w:t>b. Long-term therapy involves removing high-potassium feeds from the diet (e.g., protein supplements, bran, sweet feeds) and feeding a diet low in potassium (e.g., whole grains, grass hay). Medical therapy may be used, including acetazolamide (a potassium-wasting diuretic) at 2 to 3 mg/kg orally, 2 or 3 times a day. The dose may be decreased over time until the lowest effective dose is established.</w:t>
      </w:r>
    </w:p>
    <w:p w:rsidR="00041B6B"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rPr>
      </w:pPr>
    </w:p>
    <w:p w:rsidR="00041B6B"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rPr>
      </w:pPr>
      <w:r w:rsidRPr="00272C70">
        <w:rPr>
          <w:rFonts w:asciiTheme="majorBidi" w:hAnsiTheme="majorBidi" w:cstheme="majorBidi"/>
          <w:sz w:val="28"/>
          <w:szCs w:val="28"/>
        </w:rPr>
        <w:t>7. Prevention.</w:t>
      </w:r>
    </w:p>
    <w:p w:rsidR="00D76F24" w:rsidRPr="00272C70" w:rsidRDefault="00041B6B" w:rsidP="00041B6B">
      <w:pPr>
        <w:autoSpaceDE w:val="0"/>
        <w:autoSpaceDN w:val="0"/>
        <w:bidi w:val="0"/>
        <w:adjustRightInd w:val="0"/>
        <w:spacing w:after="0" w:line="360" w:lineRule="auto"/>
        <w:jc w:val="both"/>
        <w:rPr>
          <w:rFonts w:asciiTheme="majorBidi" w:hAnsiTheme="majorBidi" w:cstheme="majorBidi"/>
          <w:sz w:val="28"/>
          <w:szCs w:val="28"/>
          <w:lang w:bidi="ar-IQ"/>
        </w:rPr>
      </w:pPr>
      <w:r w:rsidRPr="00272C70">
        <w:rPr>
          <w:rFonts w:asciiTheme="majorBidi" w:hAnsiTheme="majorBidi" w:cstheme="majorBidi"/>
          <w:sz w:val="28"/>
          <w:szCs w:val="28"/>
        </w:rPr>
        <w:t xml:space="preserve"> </w:t>
      </w:r>
      <w:r w:rsidR="009C0B9F">
        <w:rPr>
          <w:rFonts w:asciiTheme="majorBidi" w:hAnsiTheme="majorBidi" w:cstheme="majorBidi"/>
          <w:sz w:val="28"/>
          <w:szCs w:val="28"/>
        </w:rPr>
        <w:t xml:space="preserve">     </w:t>
      </w:r>
      <w:bookmarkStart w:id="0" w:name="_GoBack"/>
      <w:bookmarkEnd w:id="0"/>
      <w:r w:rsidR="009C0B9F">
        <w:rPr>
          <w:rFonts w:asciiTheme="majorBidi" w:hAnsiTheme="majorBidi" w:cstheme="majorBidi"/>
          <w:sz w:val="28"/>
          <w:szCs w:val="28"/>
        </w:rPr>
        <w:t xml:space="preserve">  </w:t>
      </w:r>
      <w:r w:rsidRPr="00272C70">
        <w:rPr>
          <w:rFonts w:asciiTheme="majorBidi" w:hAnsiTheme="majorBidi" w:cstheme="majorBidi"/>
          <w:sz w:val="28"/>
          <w:szCs w:val="28"/>
        </w:rPr>
        <w:t xml:space="preserve">There is no cure for HYPP, which is a genetic disease and is inherited as an autosomal dominant trait. HYPP has been diagnosed more </w:t>
      </w:r>
      <w:r w:rsidRPr="00272C70">
        <w:rPr>
          <w:rFonts w:asciiTheme="majorBidi" w:hAnsiTheme="majorBidi" w:cstheme="majorBidi"/>
          <w:sz w:val="28"/>
          <w:szCs w:val="28"/>
        </w:rPr>
        <w:lastRenderedPageBreak/>
        <w:t xml:space="preserve">frequently during the last few years most likely because the carriers of the condition have been used heavily as sires. Because of the characteristics these carriers have (e.g., well-proportioned, heavily muscled appearance), the disease probably has been unknowingly propagated. Owners should be counseled about parentage identification and DNA gene probe testing. HYPP-positive horses should be removed from breeding use. </w:t>
      </w:r>
    </w:p>
    <w:sectPr w:rsidR="00D76F24" w:rsidRPr="00272C70" w:rsidSect="009945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12FD3"/>
    <w:multiLevelType w:val="hybridMultilevel"/>
    <w:tmpl w:val="8E2C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6B"/>
    <w:rsid w:val="00041B6B"/>
    <w:rsid w:val="00272C70"/>
    <w:rsid w:val="00994541"/>
    <w:rsid w:val="009C0B9F"/>
    <w:rsid w:val="00D76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752</Words>
  <Characters>4293</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2014-09-22T19:07:00Z</dcterms:created>
  <dcterms:modified xsi:type="dcterms:W3CDTF">2014-09-22T19:32:00Z</dcterms:modified>
</cp:coreProperties>
</file>